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方案一：启天</w:t>
      </w:r>
      <w:r>
        <w:rPr>
          <w:b/>
          <w:bCs/>
        </w:rPr>
        <w:t xml:space="preserve">M435/I5-10500/8G/256G/310W/win10/21.5液晶显示器  </w:t>
      </w:r>
    </w:p>
    <w:p>
      <w:pPr>
        <w:rPr>
          <w:b/>
          <w:bCs/>
        </w:rPr>
      </w:pPr>
    </w:p>
    <w:tbl>
      <w:tblPr>
        <w:tblStyle w:val="4"/>
        <w:tblW w:w="4732" w:type="pct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项目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技术规格要求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CPU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Intel Core i5-10500</w:t>
            </w:r>
            <w:r>
              <w:rPr>
                <w:rFonts w:hint="eastAsia" w:ascii="宋体" w:hAnsi="宋体"/>
                <w:sz w:val="20"/>
                <w:szCs w:val="20"/>
              </w:rPr>
              <w:t>处理器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主板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Intel </w:t>
            </w:r>
            <w:r>
              <w:rPr>
                <w:rFonts w:ascii="宋体" w:hAnsi="宋体"/>
                <w:sz w:val="20"/>
                <w:szCs w:val="20"/>
              </w:rPr>
              <w:t>B46</w:t>
            </w:r>
            <w:r>
              <w:rPr>
                <w:rFonts w:hint="eastAsia" w:ascii="宋体" w:hAnsi="宋体"/>
                <w:sz w:val="20"/>
                <w:szCs w:val="20"/>
              </w:rPr>
              <w:t>0系列以上芯片组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内存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8G DDR</w:t>
            </w:r>
            <w:r>
              <w:rPr>
                <w:rFonts w:hint="eastAsia" w:ascii="宋体" w:hAnsi="宋体"/>
                <w:sz w:val="20"/>
                <w:szCs w:val="20"/>
              </w:rPr>
              <w:t>4 2</w:t>
            </w:r>
            <w:r>
              <w:rPr>
                <w:rFonts w:ascii="宋体" w:hAnsi="宋体"/>
                <w:sz w:val="20"/>
                <w:szCs w:val="20"/>
              </w:rPr>
              <w:t>666</w:t>
            </w:r>
            <w:r>
              <w:rPr>
                <w:rFonts w:hint="eastAsia" w:ascii="宋体" w:hAnsi="宋体"/>
                <w:sz w:val="20"/>
                <w:szCs w:val="20"/>
              </w:rPr>
              <w:t>MHz 内存，最大支持32G内存容量；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显卡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集成显卡，支持双屏输出功能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声卡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集成HD Audio，支持5.1声道</w:t>
            </w:r>
            <w:r>
              <w:rPr>
                <w:rFonts w:hint="eastAsia" w:ascii="宋体" w:hAnsi="宋体"/>
                <w:sz w:val="20"/>
                <w:szCs w:val="20"/>
              </w:rPr>
              <w:t>（提供前2后3共5个音频接口）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硬盘</w:t>
            </w:r>
          </w:p>
        </w:tc>
        <w:tc>
          <w:tcPr>
            <w:tcW w:w="3954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256G M.2 NVME 固态硬盘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光驱</w:t>
            </w:r>
          </w:p>
        </w:tc>
        <w:tc>
          <w:tcPr>
            <w:tcW w:w="3954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DVDRW光驱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网卡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集成</w:t>
            </w:r>
            <w:r>
              <w:rPr>
                <w:rFonts w:ascii="宋体" w:hAnsi="宋体"/>
                <w:sz w:val="20"/>
                <w:szCs w:val="20"/>
              </w:rPr>
              <w:t>10/100/1000M以太网卡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扩展槽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个PCI-E*16</w:t>
            </w:r>
            <w:r>
              <w:rPr>
                <w:rFonts w:hint="eastAsia" w:ascii="宋体" w:hAnsi="宋体"/>
                <w:sz w:val="20"/>
                <w:szCs w:val="20"/>
              </w:rPr>
              <w:t>、2</w:t>
            </w:r>
            <w:r>
              <w:rPr>
                <w:rFonts w:ascii="宋体" w:hAnsi="宋体"/>
                <w:sz w:val="20"/>
                <w:szCs w:val="20"/>
              </w:rPr>
              <w:t>个PCI-E*1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1个PCI</w:t>
            </w:r>
            <w:r>
              <w:rPr>
                <w:rFonts w:hint="eastAsia" w:ascii="宋体" w:hAnsi="宋体"/>
                <w:sz w:val="20"/>
                <w:szCs w:val="20"/>
              </w:rPr>
              <w:t>槽位；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键盘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、鼠标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同</w:t>
            </w:r>
            <w:r>
              <w:rPr>
                <w:rFonts w:hint="eastAsia" w:ascii="宋体" w:hAnsi="宋体"/>
                <w:sz w:val="20"/>
                <w:szCs w:val="20"/>
              </w:rPr>
              <w:t>品牌</w:t>
            </w:r>
            <w:r>
              <w:rPr>
                <w:rFonts w:ascii="宋体" w:hAnsi="宋体"/>
                <w:sz w:val="20"/>
                <w:szCs w:val="20"/>
              </w:rPr>
              <w:t>防水键盘</w:t>
            </w:r>
            <w:r>
              <w:rPr>
                <w:rFonts w:hint="eastAsia" w:ascii="宋体" w:hAnsi="宋体"/>
                <w:sz w:val="20"/>
                <w:szCs w:val="20"/>
              </w:rPr>
              <w:t>、抗菌</w:t>
            </w:r>
            <w:r>
              <w:rPr>
                <w:rFonts w:ascii="宋体" w:hAnsi="宋体"/>
                <w:sz w:val="20"/>
                <w:szCs w:val="20"/>
              </w:rPr>
              <w:t>鼠标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接口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t>10个USB接口(前置6个USB 3.2 Gen1，后置4个USB 2.0)、1组PS/2接口、1个串口、VGA+HDMI接口（VGA非转接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电源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310</w:t>
            </w:r>
            <w:r>
              <w:rPr>
                <w:rFonts w:hint="eastAsia" w:ascii="宋体" w:hAnsi="宋体"/>
                <w:sz w:val="20"/>
                <w:szCs w:val="20"/>
              </w:rPr>
              <w:t>W节能电源,便于后期显卡扩展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显示器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21.5</w:t>
            </w:r>
            <w:r>
              <w:rPr>
                <w:rFonts w:hint="eastAsia" w:ascii="宋体" w:hAnsi="宋体"/>
                <w:sz w:val="20"/>
                <w:szCs w:val="20"/>
              </w:rPr>
              <w:t>寸LED显示器，分辨率</w:t>
            </w:r>
            <w:r>
              <w:rPr>
                <w:rFonts w:ascii="宋体" w:hAnsi="宋体"/>
                <w:sz w:val="20"/>
                <w:szCs w:val="20"/>
              </w:rPr>
              <w:t>1920</w:t>
            </w:r>
            <w:r>
              <w:rPr>
                <w:rFonts w:hint="eastAsia" w:ascii="宋体" w:hAnsi="宋体"/>
                <w:sz w:val="20"/>
                <w:szCs w:val="20"/>
              </w:rPr>
              <w:t>*</w:t>
            </w:r>
            <w:r>
              <w:rPr>
                <w:rFonts w:ascii="宋体" w:hAnsi="宋体"/>
                <w:sz w:val="20"/>
                <w:szCs w:val="20"/>
              </w:rPr>
              <w:t>1080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安全特性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USB屏蔽技术，仅识别USB键盘、鼠标，无法识别USB读取设备，有效防止数据泄露；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机箱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标准MATX立式机箱</w:t>
            </w:r>
            <w:r>
              <w:rPr>
                <w:rFonts w:hint="eastAsia" w:ascii="宋体" w:hAnsi="宋体"/>
                <w:sz w:val="20"/>
                <w:szCs w:val="20"/>
              </w:rPr>
              <w:t>，采用蜂窝结构，散热更为有效；</w:t>
            </w:r>
          </w:p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机箱不大于1</w:t>
            </w:r>
            <w:r>
              <w:rPr>
                <w:rFonts w:ascii="宋体" w:hAnsi="宋体"/>
                <w:sz w:val="20"/>
                <w:szCs w:val="20"/>
              </w:rPr>
              <w:t>5L</w:t>
            </w:r>
            <w:r>
              <w:rPr>
                <w:rFonts w:hint="eastAsia" w:ascii="宋体" w:hAnsi="宋体"/>
                <w:sz w:val="20"/>
                <w:szCs w:val="20"/>
              </w:rPr>
              <w:t>，顶置提手，方便搬运，顶置电源开关键，方便使用；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46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服务</w:t>
            </w:r>
          </w:p>
        </w:tc>
        <w:tc>
          <w:tcPr>
            <w:tcW w:w="3954" w:type="pct"/>
            <w:vAlign w:val="center"/>
          </w:tcPr>
          <w:p>
            <w:pPr>
              <w:pStyle w:val="6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承诺主机三年保修及三年上门服务，三年硬盘不回收。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400/800售后电话，需提供针对此项目的服务承诺函，并加盖公章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pStyle w:val="6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供应商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售后服务通过客户联络中心标准体系（CCCS）钻石五星级认证。</w:t>
            </w:r>
          </w:p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供应商</w:t>
            </w:r>
            <w:r>
              <w:rPr>
                <w:rFonts w:hint="eastAsia" w:ascii="宋体" w:hAnsi="宋体"/>
                <w:sz w:val="20"/>
                <w:szCs w:val="20"/>
              </w:rPr>
              <w:t>获得中国合格评定认可委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</w:rPr>
              <w:t>员会（CNAS）实验室认可证书</w:t>
            </w:r>
          </w:p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所投产品必须具有国家信息安全测评信息安全服务资质证书（安全工程类一级）。</w:t>
            </w:r>
          </w:p>
          <w:p>
            <w:pPr>
              <w:pStyle w:val="6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提供三年软硬件现场服务、技术参数证明材料及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供应商</w:t>
            </w:r>
            <w:r>
              <w:rPr>
                <w:rFonts w:hint="eastAsia" w:ascii="宋体" w:hAnsi="宋体"/>
                <w:sz w:val="20"/>
                <w:szCs w:val="20"/>
              </w:rPr>
              <w:t>认可的产品节能环保认证证书并加盖红章，后续由具备联想认证工程师提供安装服务，提供7*24小时响应服务。</w:t>
            </w:r>
          </w:p>
        </w:tc>
      </w:tr>
    </w:tbl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F6"/>
    <w:rsid w:val="000842BF"/>
    <w:rsid w:val="00170A5B"/>
    <w:rsid w:val="002F4200"/>
    <w:rsid w:val="00363173"/>
    <w:rsid w:val="00554348"/>
    <w:rsid w:val="005A5A48"/>
    <w:rsid w:val="007808D2"/>
    <w:rsid w:val="00785ACF"/>
    <w:rsid w:val="008E2280"/>
    <w:rsid w:val="00E84FF6"/>
    <w:rsid w:val="00EE3DE0"/>
    <w:rsid w:val="00EF6C41"/>
    <w:rsid w:val="148241B0"/>
    <w:rsid w:val="2E067DA0"/>
    <w:rsid w:val="73D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700</Characters>
  <Lines>5</Lines>
  <Paragraphs>1</Paragraphs>
  <TotalTime>7</TotalTime>
  <ScaleCrop>false</ScaleCrop>
  <LinksUpToDate>false</LinksUpToDate>
  <CharactersWithSpaces>821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2021-03-24T07:18:00Z</dcterms:created>
  <dc:creator>dell</dc:creator>
  <cp:lastModifiedBy>陈中豪</cp:lastModifiedBy>
  <dcterms:modified xsi:type="dcterms:W3CDTF">2021-03-25T02:12:14Z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