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val="en-US" w:eastAsia="zh-CN"/>
        </w:rPr>
      </w:pPr>
      <w:r>
        <w:rPr>
          <w:rFonts w:hint="eastAsia"/>
          <w:sz w:val="32"/>
          <w:szCs w:val="40"/>
          <w:lang w:val="en-US" w:eastAsia="zh-CN"/>
        </w:rPr>
        <w:t>预算金额：</w:t>
      </w:r>
      <w:r>
        <w:rPr>
          <w:rFonts w:hint="default"/>
          <w:sz w:val="32"/>
          <w:szCs w:val="40"/>
          <w:lang w:eastAsia="zh-CN"/>
        </w:rPr>
        <w:t>19.8</w:t>
      </w:r>
      <w:r>
        <w:rPr>
          <w:rFonts w:hint="eastAsia"/>
          <w:sz w:val="32"/>
          <w:szCs w:val="40"/>
          <w:lang w:val="en-US" w:eastAsia="zh-CN"/>
        </w:rPr>
        <w:t>万元</w:t>
      </w:r>
    </w:p>
    <w:p>
      <w:pPr>
        <w:rPr>
          <w:rFonts w:hint="eastAsia" w:eastAsiaTheme="minorEastAsia"/>
          <w:sz w:val="32"/>
          <w:szCs w:val="40"/>
          <w:lang w:val="en-US" w:eastAsia="zh-CN"/>
        </w:rPr>
      </w:pPr>
      <w:r>
        <w:rPr>
          <w:rFonts w:hint="eastAsia"/>
          <w:sz w:val="32"/>
          <w:szCs w:val="40"/>
          <w:lang w:val="en-US" w:eastAsia="zh-CN"/>
        </w:rPr>
        <w:t>期望收货时间：默认</w:t>
      </w:r>
    </w:p>
    <w:p>
      <w:pPr>
        <w:rPr>
          <w:rFonts w:hint="default"/>
          <w:sz w:val="32"/>
          <w:szCs w:val="40"/>
          <w:lang w:val="en-US" w:eastAsia="zh-CN"/>
        </w:rPr>
      </w:pPr>
      <w:r>
        <w:rPr>
          <w:rFonts w:hint="eastAsia"/>
          <w:sz w:val="32"/>
          <w:szCs w:val="40"/>
          <w:lang w:val="en-US" w:eastAsia="zh-CN"/>
        </w:rPr>
        <w:t>送货地址：江苏南通市崇川区江苏南通市崇川区工农路1号崇川法院</w:t>
      </w:r>
    </w:p>
    <w:p>
      <w:pPr>
        <w:rPr>
          <w:rFonts w:hint="eastAsia"/>
          <w:sz w:val="32"/>
          <w:szCs w:val="40"/>
          <w:lang w:val="en-US" w:eastAsia="zh-CN"/>
        </w:rPr>
      </w:pPr>
      <w:r>
        <w:rPr>
          <w:rFonts w:hint="eastAsia"/>
          <w:sz w:val="32"/>
          <w:szCs w:val="40"/>
          <w:lang w:val="en-US" w:eastAsia="zh-CN"/>
        </w:rPr>
        <w:t>产品品牌：深信服。</w:t>
      </w:r>
    </w:p>
    <w:p>
      <w:pPr>
        <w:rPr>
          <w:rFonts w:hint="eastAsia"/>
          <w:sz w:val="32"/>
          <w:szCs w:val="40"/>
          <w:lang w:val="en-US" w:eastAsia="zh-CN"/>
        </w:rPr>
      </w:pPr>
      <w:r>
        <w:rPr>
          <w:rFonts w:hint="eastAsia"/>
          <w:sz w:val="32"/>
          <w:szCs w:val="40"/>
          <w:lang w:val="en-US" w:eastAsia="zh-CN"/>
        </w:rPr>
        <w:t>商品分类：防火墙</w:t>
      </w:r>
    </w:p>
    <w:p>
      <w:pPr>
        <w:rPr>
          <w:rFonts w:hint="eastAsia"/>
          <w:sz w:val="32"/>
          <w:szCs w:val="40"/>
          <w:lang w:val="en-US" w:eastAsia="zh-CN"/>
        </w:rPr>
      </w:pPr>
      <w:r>
        <w:rPr>
          <w:rFonts w:hint="eastAsia"/>
          <w:sz w:val="32"/>
          <w:szCs w:val="40"/>
          <w:lang w:val="en-US" w:eastAsia="zh-CN"/>
        </w:rPr>
        <w:t>规格型号：详见采购清单</w:t>
      </w:r>
    </w:p>
    <w:p>
      <w:pPr>
        <w:rPr>
          <w:rFonts w:hint="eastAsia" w:eastAsia="仿宋"/>
          <w:color w:val="FF0000"/>
          <w:sz w:val="32"/>
          <w:szCs w:val="40"/>
          <w:lang w:val="en-US" w:eastAsia="zh-CN"/>
        </w:rPr>
      </w:pPr>
      <w:r>
        <w:rPr>
          <w:rFonts w:hint="eastAsia"/>
          <w:sz w:val="32"/>
          <w:szCs w:val="40"/>
          <w:lang w:val="en-US" w:eastAsia="zh-CN"/>
        </w:rPr>
        <w:t>服务要求：</w:t>
      </w:r>
      <w:r>
        <w:rPr>
          <w:rFonts w:hint="eastAsia" w:eastAsia="仿宋"/>
          <w:sz w:val="28"/>
          <w:szCs w:val="28"/>
          <w:lang w:val="en-US" w:eastAsia="zh-CN"/>
        </w:rPr>
        <w:t>软件平台</w:t>
      </w:r>
      <w:r>
        <w:rPr>
          <w:rFonts w:hint="eastAsia" w:eastAsia="仿宋"/>
          <w:sz w:val="28"/>
          <w:szCs w:val="28"/>
        </w:rPr>
        <w:t>须提供三年软件免费升级，三年硬件免费质保</w:t>
      </w:r>
      <w:r>
        <w:rPr>
          <w:rFonts w:hint="eastAsia" w:eastAsia="仿宋"/>
          <w:sz w:val="28"/>
          <w:szCs w:val="28"/>
          <w:lang w:eastAsia="zh-CN"/>
        </w:rPr>
        <w:t>（由供应商承诺）、</w:t>
      </w:r>
      <w:r>
        <w:rPr>
          <w:rFonts w:ascii="微软雅黑" w:hAnsi="微软雅黑" w:eastAsia="微软雅黑" w:cs="微软雅黑"/>
          <w:i w:val="0"/>
          <w:caps w:val="0"/>
          <w:color w:val="7B7B7B"/>
          <w:spacing w:val="0"/>
          <w:sz w:val="22"/>
          <w:szCs w:val="22"/>
          <w:shd w:val="clear" w:fill="FFFFFF"/>
        </w:rPr>
        <w:t>送</w:t>
      </w:r>
      <w:r>
        <w:rPr>
          <w:rFonts w:hint="eastAsia" w:eastAsia="仿宋"/>
          <w:sz w:val="28"/>
          <w:szCs w:val="28"/>
          <w:lang w:val="en-US" w:eastAsia="zh-CN"/>
        </w:rPr>
        <w:t>货时随附深信服营业执照复印件加盖鲜红印章、保修卡、合格证</w:t>
      </w:r>
      <w:r>
        <w:rPr>
          <w:rFonts w:ascii="微软雅黑" w:hAnsi="微软雅黑" w:eastAsia="微软雅黑" w:cs="微软雅黑"/>
          <w:i w:val="0"/>
          <w:caps w:val="0"/>
          <w:color w:val="7B7B7B"/>
          <w:spacing w:val="0"/>
          <w:sz w:val="22"/>
          <w:szCs w:val="22"/>
          <w:shd w:val="clear" w:fill="FFFFFF"/>
        </w:rPr>
        <w:t>。</w:t>
      </w:r>
      <w:r>
        <w:rPr>
          <w:rFonts w:hint="eastAsia" w:eastAsia="仿宋"/>
          <w:sz w:val="28"/>
          <w:szCs w:val="28"/>
          <w:lang w:eastAsia="zh-CN"/>
        </w:rPr>
        <w:t>提供</w:t>
      </w:r>
      <w:r>
        <w:rPr>
          <w:rFonts w:hint="default" w:eastAsia="仿宋"/>
          <w:sz w:val="28"/>
          <w:szCs w:val="28"/>
          <w:lang w:eastAsia="zh-CN"/>
        </w:rPr>
        <w:t>具备</w:t>
      </w:r>
      <w:r>
        <w:rPr>
          <w:rFonts w:hint="eastAsia" w:eastAsia="仿宋"/>
          <w:sz w:val="28"/>
          <w:szCs w:val="28"/>
          <w:lang w:eastAsia="zh-CN"/>
        </w:rPr>
        <w:t>生产厂家认证</w:t>
      </w:r>
      <w:r>
        <w:rPr>
          <w:rFonts w:hint="default" w:eastAsia="仿宋"/>
          <w:sz w:val="28"/>
          <w:szCs w:val="28"/>
          <w:lang w:eastAsia="zh-CN"/>
        </w:rPr>
        <w:t>的</w:t>
      </w:r>
      <w:r>
        <w:rPr>
          <w:rFonts w:hint="eastAsia" w:eastAsia="仿宋"/>
          <w:sz w:val="28"/>
          <w:szCs w:val="28"/>
          <w:lang w:eastAsia="zh-CN"/>
        </w:rPr>
        <w:t>工程师</w:t>
      </w:r>
      <w:r>
        <w:rPr>
          <w:rFonts w:hint="default" w:eastAsia="仿宋"/>
          <w:sz w:val="28"/>
          <w:szCs w:val="28"/>
          <w:lang w:eastAsia="zh-CN"/>
        </w:rPr>
        <w:t>上门</w:t>
      </w:r>
      <w:r>
        <w:rPr>
          <w:rFonts w:hint="eastAsia" w:eastAsia="仿宋"/>
          <w:sz w:val="28"/>
          <w:szCs w:val="28"/>
          <w:lang w:eastAsia="zh-CN"/>
        </w:rPr>
        <w:t>服务。提供安装、调试、培训等服务，成交后在规定时间内交付使用。</w:t>
      </w: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default"/>
          <w:sz w:val="32"/>
          <w:szCs w:val="40"/>
          <w:lang w:val="en-US" w:eastAsia="zh-CN"/>
        </w:rPr>
      </w:pPr>
    </w:p>
    <w:p>
      <w:pPr>
        <w:rPr>
          <w:rFonts w:hint="eastAsia"/>
          <w:sz w:val="32"/>
          <w:szCs w:val="40"/>
          <w:lang w:val="en-US" w:eastAsia="zh-CN"/>
        </w:rPr>
      </w:pPr>
      <w:r>
        <w:rPr>
          <w:rFonts w:hint="eastAsia"/>
          <w:sz w:val="32"/>
          <w:szCs w:val="40"/>
          <w:lang w:val="en-US" w:eastAsia="zh-CN"/>
        </w:rPr>
        <w:t>附件：</w:t>
      </w:r>
    </w:p>
    <w:p>
      <w:pPr>
        <w:adjustRightInd w:val="0"/>
        <w:snapToGrid w:val="0"/>
        <w:spacing w:line="360" w:lineRule="auto"/>
        <w:rPr>
          <w:rFonts w:eastAsia="仿宋"/>
          <w:b/>
          <w:sz w:val="28"/>
          <w:szCs w:val="28"/>
        </w:rPr>
      </w:pPr>
      <w:r>
        <w:rPr>
          <w:rFonts w:hint="eastAsia" w:eastAsia="仿宋"/>
          <w:b/>
          <w:sz w:val="28"/>
          <w:szCs w:val="28"/>
          <w:lang w:eastAsia="zh-CN"/>
        </w:rPr>
        <w:t>一、</w:t>
      </w:r>
      <w:r>
        <w:rPr>
          <w:rFonts w:eastAsia="仿宋"/>
          <w:b/>
          <w:sz w:val="28"/>
          <w:szCs w:val="28"/>
        </w:rPr>
        <w:t>清单</w:t>
      </w:r>
    </w:p>
    <w:tbl>
      <w:tblPr>
        <w:tblStyle w:val="12"/>
        <w:tblW w:w="909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985"/>
        <w:gridCol w:w="2654"/>
        <w:gridCol w:w="723"/>
        <w:gridCol w:w="781"/>
        <w:gridCol w:w="1409"/>
        <w:gridCol w:w="2053"/>
      </w:tblGrid>
      <w:tr>
        <w:trPr>
          <w:trHeight w:val="480" w:hRule="atLeast"/>
        </w:trPr>
        <w:tc>
          <w:tcPr>
            <w:tcW w:w="494" w:type="dxa"/>
            <w:noWrap w:val="0"/>
            <w:vAlign w:val="center"/>
          </w:tcPr>
          <w:p>
            <w:pPr>
              <w:widowControl/>
              <w:jc w:val="center"/>
              <w:rPr>
                <w:b/>
                <w:bCs/>
                <w:kern w:val="0"/>
                <w:sz w:val="24"/>
              </w:rPr>
            </w:pPr>
            <w:r>
              <w:rPr>
                <w:b/>
                <w:bCs/>
                <w:kern w:val="0"/>
                <w:sz w:val="24"/>
              </w:rPr>
              <w:t>序号</w:t>
            </w:r>
          </w:p>
        </w:tc>
        <w:tc>
          <w:tcPr>
            <w:tcW w:w="1129" w:type="dxa"/>
            <w:noWrap w:val="0"/>
            <w:vAlign w:val="center"/>
          </w:tcPr>
          <w:p>
            <w:pPr>
              <w:widowControl/>
              <w:jc w:val="center"/>
              <w:rPr>
                <w:b/>
                <w:bCs/>
                <w:color w:val="000000"/>
                <w:kern w:val="0"/>
                <w:sz w:val="24"/>
              </w:rPr>
            </w:pPr>
            <w:r>
              <w:rPr>
                <w:b/>
                <w:bCs/>
                <w:color w:val="000000"/>
                <w:kern w:val="0"/>
                <w:sz w:val="24"/>
              </w:rPr>
              <w:t>设备名称</w:t>
            </w:r>
          </w:p>
        </w:tc>
        <w:tc>
          <w:tcPr>
            <w:tcW w:w="3022" w:type="dxa"/>
            <w:noWrap w:val="0"/>
            <w:vAlign w:val="center"/>
          </w:tcPr>
          <w:p>
            <w:pPr>
              <w:widowControl/>
              <w:jc w:val="center"/>
              <w:rPr>
                <w:b/>
                <w:bCs/>
                <w:kern w:val="0"/>
                <w:sz w:val="24"/>
              </w:rPr>
            </w:pPr>
            <w:r>
              <w:rPr>
                <w:b/>
                <w:bCs/>
                <w:kern w:val="0"/>
                <w:sz w:val="24"/>
              </w:rPr>
              <w:t>配置参数</w:t>
            </w:r>
          </w:p>
        </w:tc>
        <w:tc>
          <w:tcPr>
            <w:tcW w:w="796" w:type="dxa"/>
            <w:noWrap w:val="0"/>
            <w:vAlign w:val="center"/>
          </w:tcPr>
          <w:p>
            <w:pPr>
              <w:widowControl/>
              <w:jc w:val="center"/>
              <w:rPr>
                <w:b/>
                <w:bCs/>
                <w:kern w:val="0"/>
                <w:sz w:val="24"/>
              </w:rPr>
            </w:pPr>
            <w:r>
              <w:rPr>
                <w:b/>
                <w:bCs/>
                <w:kern w:val="0"/>
                <w:sz w:val="24"/>
              </w:rPr>
              <w:t>数量</w:t>
            </w:r>
          </w:p>
        </w:tc>
        <w:tc>
          <w:tcPr>
            <w:tcW w:w="869" w:type="dxa"/>
            <w:noWrap w:val="0"/>
            <w:vAlign w:val="center"/>
          </w:tcPr>
          <w:p>
            <w:pPr>
              <w:widowControl/>
              <w:jc w:val="center"/>
              <w:rPr>
                <w:b/>
                <w:bCs/>
                <w:kern w:val="0"/>
                <w:sz w:val="24"/>
              </w:rPr>
            </w:pPr>
            <w:r>
              <w:rPr>
                <w:b/>
                <w:bCs/>
                <w:kern w:val="0"/>
                <w:sz w:val="24"/>
              </w:rPr>
              <w:t>单位</w:t>
            </w:r>
          </w:p>
        </w:tc>
        <w:tc>
          <w:tcPr>
            <w:tcW w:w="1612" w:type="dxa"/>
            <w:noWrap w:val="0"/>
            <w:vAlign w:val="center"/>
          </w:tcPr>
          <w:p>
            <w:pPr>
              <w:widowControl/>
              <w:jc w:val="center"/>
              <w:rPr>
                <w:rFonts w:hint="eastAsia" w:eastAsia="宋体"/>
                <w:b/>
                <w:bCs/>
                <w:kern w:val="0"/>
                <w:sz w:val="24"/>
                <w:lang w:eastAsia="zh-CN"/>
              </w:rPr>
            </w:pPr>
            <w:r>
              <w:rPr>
                <w:rFonts w:hint="default" w:eastAsia="宋体"/>
                <w:b/>
                <w:bCs/>
                <w:kern w:val="0"/>
                <w:sz w:val="24"/>
                <w:lang w:eastAsia="zh-CN"/>
              </w:rPr>
              <w:t>品牌</w:t>
            </w:r>
          </w:p>
        </w:tc>
        <w:tc>
          <w:tcPr>
            <w:tcW w:w="1169" w:type="dxa"/>
            <w:noWrap w:val="0"/>
            <w:vAlign w:val="center"/>
          </w:tcPr>
          <w:p>
            <w:pPr>
              <w:widowControl/>
              <w:jc w:val="center"/>
              <w:rPr>
                <w:rFonts w:hint="eastAsia"/>
                <w:b/>
                <w:bCs/>
                <w:kern w:val="0"/>
                <w:sz w:val="24"/>
                <w:lang w:eastAsia="zh-CN"/>
              </w:rPr>
            </w:pPr>
            <w:r>
              <w:rPr>
                <w:rFonts w:hint="default"/>
                <w:b/>
                <w:bCs/>
                <w:kern w:val="0"/>
                <w:sz w:val="24"/>
                <w:lang w:eastAsia="zh-CN"/>
              </w:rPr>
              <w:t>型号</w:t>
            </w:r>
          </w:p>
        </w:tc>
      </w:tr>
      <w:tr>
        <w:trPr>
          <w:trHeight w:val="1695" w:hRule="atLeast"/>
        </w:trPr>
        <w:tc>
          <w:tcPr>
            <w:tcW w:w="494" w:type="dxa"/>
            <w:noWrap w:val="0"/>
            <w:vAlign w:val="center"/>
          </w:tcPr>
          <w:p>
            <w:pPr>
              <w:widowControl/>
              <w:jc w:val="center"/>
              <w:rPr>
                <w:kern w:val="0"/>
                <w:sz w:val="24"/>
              </w:rPr>
            </w:pPr>
            <w:r>
              <w:rPr>
                <w:kern w:val="0"/>
                <w:sz w:val="24"/>
              </w:rPr>
              <w:t>1</w:t>
            </w:r>
          </w:p>
        </w:tc>
        <w:tc>
          <w:tcPr>
            <w:tcW w:w="1129" w:type="dxa"/>
            <w:noWrap w:val="0"/>
            <w:vAlign w:val="center"/>
          </w:tcPr>
          <w:p>
            <w:pPr>
              <w:widowControl/>
              <w:jc w:val="left"/>
              <w:rPr>
                <w:kern w:val="0"/>
                <w:sz w:val="24"/>
              </w:rPr>
            </w:pPr>
            <w:r>
              <w:rPr>
                <w:rFonts w:hint="default"/>
                <w:kern w:val="0"/>
                <w:sz w:val="24"/>
              </w:rPr>
              <w:t>防火墙</w:t>
            </w:r>
          </w:p>
        </w:tc>
        <w:tc>
          <w:tcPr>
            <w:tcW w:w="3022" w:type="dxa"/>
            <w:noWrap w:val="0"/>
            <w:vAlign w:val="center"/>
          </w:tcPr>
          <w:p>
            <w:pPr>
              <w:widowControl/>
              <w:jc w:val="left"/>
              <w:rPr>
                <w:rFonts w:hint="default"/>
                <w:kern w:val="0"/>
                <w:sz w:val="24"/>
              </w:rPr>
            </w:pPr>
            <w:r>
              <w:rPr>
                <w:rFonts w:hint="eastAsia"/>
                <w:kern w:val="0"/>
                <w:sz w:val="24"/>
              </w:rPr>
              <w:t>性能参数：网络层吞吐量：2</w:t>
            </w:r>
            <w:r>
              <w:rPr>
                <w:rFonts w:hint="default"/>
                <w:kern w:val="0"/>
                <w:sz w:val="24"/>
              </w:rPr>
              <w:t>0</w:t>
            </w:r>
            <w:r>
              <w:rPr>
                <w:rFonts w:hint="eastAsia"/>
                <w:kern w:val="0"/>
                <w:sz w:val="24"/>
              </w:rPr>
              <w:t>G，应用层吞吐量：</w:t>
            </w:r>
            <w:r>
              <w:rPr>
                <w:rFonts w:hint="default"/>
                <w:kern w:val="0"/>
                <w:sz w:val="24"/>
              </w:rPr>
              <w:t>2.8</w:t>
            </w:r>
            <w:r>
              <w:rPr>
                <w:rFonts w:hint="eastAsia"/>
                <w:kern w:val="0"/>
                <w:sz w:val="24"/>
              </w:rPr>
              <w:t>G，并发连接数：2200000，新建连接数：</w:t>
            </w:r>
            <w:r>
              <w:rPr>
                <w:rFonts w:hint="default"/>
                <w:kern w:val="0"/>
                <w:sz w:val="24"/>
              </w:rPr>
              <w:t>15</w:t>
            </w:r>
            <w:r>
              <w:rPr>
                <w:rFonts w:hint="eastAsia"/>
                <w:kern w:val="0"/>
                <w:sz w:val="24"/>
              </w:rPr>
              <w:t>0000</w:t>
            </w:r>
            <w:r>
              <w:rPr>
                <w:rFonts w:hint="default"/>
                <w:kern w:val="0"/>
                <w:sz w:val="24"/>
              </w:rPr>
              <w:t>；</w:t>
            </w:r>
          </w:p>
          <w:p>
            <w:pPr>
              <w:widowControl/>
              <w:jc w:val="left"/>
              <w:rPr>
                <w:rFonts w:hint="eastAsia"/>
                <w:kern w:val="0"/>
                <w:sz w:val="24"/>
              </w:rPr>
            </w:pPr>
            <w:r>
              <w:rPr>
                <w:rFonts w:hint="eastAsia"/>
                <w:kern w:val="0"/>
                <w:sz w:val="24"/>
              </w:rPr>
              <w:t>硬件参数：规格：</w:t>
            </w:r>
            <w:r>
              <w:rPr>
                <w:rFonts w:hint="default"/>
                <w:kern w:val="0"/>
                <w:sz w:val="24"/>
              </w:rPr>
              <w:t>1</w:t>
            </w:r>
            <w:r>
              <w:rPr>
                <w:rFonts w:hint="eastAsia"/>
                <w:kern w:val="0"/>
                <w:sz w:val="24"/>
              </w:rPr>
              <w:t>U，内存大小：8G，硬盘容量：</w:t>
            </w:r>
            <w:r>
              <w:rPr>
                <w:rFonts w:hint="default"/>
                <w:kern w:val="0"/>
                <w:sz w:val="24"/>
              </w:rPr>
              <w:t>128G minisata SSD</w:t>
            </w:r>
            <w:r>
              <w:rPr>
                <w:rFonts w:hint="eastAsia"/>
                <w:kern w:val="0"/>
                <w:sz w:val="24"/>
              </w:rPr>
              <w:t>，电源：</w:t>
            </w:r>
            <w:r>
              <w:rPr>
                <w:rFonts w:hint="default"/>
                <w:kern w:val="0"/>
                <w:sz w:val="24"/>
              </w:rPr>
              <w:t>单</w:t>
            </w:r>
            <w:r>
              <w:rPr>
                <w:rFonts w:hint="eastAsia"/>
                <w:kern w:val="0"/>
                <w:sz w:val="24"/>
              </w:rPr>
              <w:t>电源，接口：6千兆电口+2万兆光口SFP+。</w:t>
            </w:r>
          </w:p>
          <w:p>
            <w:pPr>
              <w:widowControl/>
              <w:jc w:val="left"/>
              <w:rPr>
                <w:kern w:val="0"/>
                <w:sz w:val="24"/>
              </w:rPr>
            </w:pPr>
            <w:r>
              <w:rPr>
                <w:kern w:val="0"/>
                <w:sz w:val="24"/>
              </w:rPr>
              <w:t>开通IPS入侵防御、URL&amp;应用识别功能；开通AV防病毒功能；</w:t>
            </w:r>
          </w:p>
          <w:p>
            <w:pPr>
              <w:widowControl/>
              <w:jc w:val="left"/>
              <w:rPr>
                <w:kern w:val="0"/>
                <w:sz w:val="24"/>
              </w:rPr>
            </w:pPr>
            <w:r>
              <w:rPr>
                <w:kern w:val="0"/>
                <w:sz w:val="24"/>
              </w:rPr>
              <w:t>本次配置3年IPS攻击规则库、URL&amp;应用识别升级许可；3年病毒库升级许可；软硬件三年保。</w:t>
            </w:r>
          </w:p>
        </w:tc>
        <w:tc>
          <w:tcPr>
            <w:tcW w:w="796" w:type="dxa"/>
            <w:noWrap w:val="0"/>
            <w:vAlign w:val="center"/>
          </w:tcPr>
          <w:p>
            <w:pPr>
              <w:widowControl/>
              <w:jc w:val="center"/>
              <w:rPr>
                <w:kern w:val="0"/>
                <w:sz w:val="24"/>
              </w:rPr>
            </w:pPr>
            <w:r>
              <w:rPr>
                <w:kern w:val="0"/>
                <w:sz w:val="24"/>
              </w:rPr>
              <w:t>1</w:t>
            </w:r>
          </w:p>
        </w:tc>
        <w:tc>
          <w:tcPr>
            <w:tcW w:w="869" w:type="dxa"/>
            <w:noWrap w:val="0"/>
            <w:vAlign w:val="center"/>
          </w:tcPr>
          <w:p>
            <w:pPr>
              <w:widowControl/>
              <w:jc w:val="center"/>
              <w:rPr>
                <w:kern w:val="0"/>
                <w:sz w:val="24"/>
              </w:rPr>
            </w:pPr>
            <w:r>
              <w:rPr>
                <w:kern w:val="0"/>
                <w:sz w:val="24"/>
              </w:rPr>
              <w:t>台</w:t>
            </w:r>
          </w:p>
        </w:tc>
        <w:tc>
          <w:tcPr>
            <w:tcW w:w="1612" w:type="dxa"/>
            <w:noWrap w:val="0"/>
            <w:vAlign w:val="center"/>
          </w:tcPr>
          <w:p>
            <w:pPr>
              <w:widowControl/>
              <w:ind w:firstLine="240" w:firstLineChars="100"/>
              <w:jc w:val="left"/>
              <w:rPr>
                <w:rFonts w:hint="eastAsia" w:eastAsia="宋体"/>
                <w:kern w:val="0"/>
                <w:sz w:val="24"/>
                <w:lang w:eastAsia="zh-CN"/>
              </w:rPr>
            </w:pPr>
            <w:r>
              <w:rPr>
                <w:rFonts w:hint="eastAsia"/>
                <w:kern w:val="0"/>
                <w:sz w:val="24"/>
                <w:lang w:eastAsia="zh-CN"/>
              </w:rPr>
              <w:t>深信服</w:t>
            </w:r>
          </w:p>
        </w:tc>
        <w:tc>
          <w:tcPr>
            <w:tcW w:w="1169" w:type="dxa"/>
            <w:noWrap w:val="0"/>
            <w:vAlign w:val="center"/>
          </w:tcPr>
          <w:p>
            <w:pPr>
              <w:widowControl/>
              <w:jc w:val="left"/>
              <w:rPr>
                <w:rFonts w:hint="eastAsia"/>
                <w:kern w:val="0"/>
                <w:sz w:val="24"/>
                <w:lang w:eastAsia="zh-CN"/>
              </w:rPr>
            </w:pPr>
            <w:r>
              <w:rPr>
                <w:rFonts w:hint="default"/>
                <w:kern w:val="0"/>
                <w:sz w:val="24"/>
                <w:lang w:eastAsia="zh-CN"/>
              </w:rPr>
              <w:t>AF-2000-B2100-AK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trPr>
        <w:tc>
          <w:tcPr>
            <w:tcW w:w="494" w:type="dxa"/>
            <w:noWrap w:val="0"/>
            <w:vAlign w:val="center"/>
          </w:tcPr>
          <w:p>
            <w:pPr>
              <w:widowControl/>
              <w:jc w:val="center"/>
              <w:rPr>
                <w:kern w:val="0"/>
                <w:sz w:val="24"/>
              </w:rPr>
            </w:pPr>
            <w:r>
              <w:rPr>
                <w:kern w:val="0"/>
                <w:sz w:val="24"/>
              </w:rPr>
              <w:t>2</w:t>
            </w:r>
          </w:p>
        </w:tc>
        <w:tc>
          <w:tcPr>
            <w:tcW w:w="1129" w:type="dxa"/>
            <w:noWrap w:val="0"/>
            <w:vAlign w:val="center"/>
          </w:tcPr>
          <w:p>
            <w:pPr>
              <w:widowControl/>
              <w:jc w:val="left"/>
              <w:rPr>
                <w:rFonts w:hint="default"/>
                <w:kern w:val="0"/>
                <w:sz w:val="24"/>
              </w:rPr>
            </w:pPr>
            <w:r>
              <w:rPr>
                <w:rFonts w:hint="default"/>
                <w:kern w:val="0"/>
                <w:sz w:val="24"/>
              </w:rPr>
              <w:t>功能模块</w:t>
            </w:r>
          </w:p>
        </w:tc>
        <w:tc>
          <w:tcPr>
            <w:tcW w:w="3022" w:type="dxa"/>
            <w:noWrap w:val="0"/>
            <w:vAlign w:val="center"/>
          </w:tcPr>
          <w:p>
            <w:pPr>
              <w:widowControl/>
              <w:jc w:val="left"/>
              <w:rPr>
                <w:kern w:val="0"/>
                <w:sz w:val="24"/>
              </w:rPr>
            </w:pPr>
            <w:r>
              <w:rPr>
                <w:kern w:val="0"/>
                <w:sz w:val="24"/>
              </w:rPr>
              <w:t>开通IPS入倾侵防御模块，特征库三年；</w:t>
            </w:r>
          </w:p>
          <w:p>
            <w:pPr>
              <w:widowControl/>
              <w:jc w:val="left"/>
              <w:rPr>
                <w:kern w:val="0"/>
                <w:sz w:val="24"/>
              </w:rPr>
            </w:pPr>
            <w:r>
              <w:rPr>
                <w:kern w:val="0"/>
                <w:sz w:val="24"/>
              </w:rPr>
              <w:t>开通AV防病毒模块，特征库三年。</w:t>
            </w:r>
          </w:p>
        </w:tc>
        <w:tc>
          <w:tcPr>
            <w:tcW w:w="796" w:type="dxa"/>
            <w:noWrap w:val="0"/>
            <w:vAlign w:val="center"/>
          </w:tcPr>
          <w:p>
            <w:pPr>
              <w:widowControl/>
              <w:jc w:val="center"/>
              <w:rPr>
                <w:kern w:val="0"/>
                <w:sz w:val="24"/>
              </w:rPr>
            </w:pPr>
            <w:r>
              <w:rPr>
                <w:kern w:val="0"/>
                <w:sz w:val="24"/>
              </w:rPr>
              <w:t>1</w:t>
            </w:r>
          </w:p>
        </w:tc>
        <w:tc>
          <w:tcPr>
            <w:tcW w:w="869" w:type="dxa"/>
            <w:noWrap w:val="0"/>
            <w:vAlign w:val="center"/>
          </w:tcPr>
          <w:p>
            <w:pPr>
              <w:widowControl/>
              <w:jc w:val="center"/>
              <w:rPr>
                <w:kern w:val="0"/>
                <w:sz w:val="24"/>
              </w:rPr>
            </w:pPr>
            <w:r>
              <w:rPr>
                <w:kern w:val="0"/>
                <w:sz w:val="24"/>
              </w:rPr>
              <w:t>套</w:t>
            </w:r>
          </w:p>
        </w:tc>
        <w:tc>
          <w:tcPr>
            <w:tcW w:w="1612" w:type="dxa"/>
            <w:noWrap w:val="0"/>
            <w:vAlign w:val="center"/>
          </w:tcPr>
          <w:p>
            <w:pPr>
              <w:widowControl/>
              <w:jc w:val="left"/>
              <w:rPr>
                <w:rFonts w:hint="eastAsia" w:eastAsiaTheme="minorEastAsia"/>
                <w:kern w:val="0"/>
                <w:sz w:val="24"/>
                <w:lang w:eastAsia="zh-CN"/>
              </w:rPr>
            </w:pPr>
            <w:bookmarkStart w:id="4" w:name="_GoBack"/>
            <w:r>
              <w:rPr>
                <w:rFonts w:hint="default"/>
                <w:kern w:val="0"/>
                <w:sz w:val="24"/>
                <w:lang w:eastAsia="zh-CN"/>
              </w:rPr>
              <w:t>与</w:t>
            </w:r>
            <w:r>
              <w:rPr>
                <w:rFonts w:hint="eastAsia"/>
                <w:kern w:val="0"/>
                <w:sz w:val="24"/>
                <w:lang w:eastAsia="zh-CN"/>
              </w:rPr>
              <w:t>原有设备兼容</w:t>
            </w:r>
            <w:bookmarkEnd w:id="4"/>
          </w:p>
        </w:tc>
        <w:tc>
          <w:tcPr>
            <w:tcW w:w="1169" w:type="dxa"/>
            <w:noWrap w:val="0"/>
            <w:vAlign w:val="center"/>
          </w:tcPr>
          <w:p>
            <w:pPr>
              <w:widowControl/>
              <w:jc w:val="left"/>
              <w:rPr>
                <w:rFonts w:hint="default"/>
                <w:kern w:val="0"/>
                <w:sz w:val="24"/>
                <w:lang w:eastAsia="zh-CN"/>
              </w:rPr>
            </w:pPr>
          </w:p>
        </w:tc>
      </w:tr>
    </w:tbl>
    <w:p>
      <w:pPr>
        <w:adjustRightInd w:val="0"/>
        <w:snapToGrid w:val="0"/>
        <w:spacing w:line="360" w:lineRule="auto"/>
        <w:rPr>
          <w:rFonts w:hint="eastAsia" w:eastAsia="仿宋"/>
          <w:b/>
          <w:sz w:val="28"/>
          <w:szCs w:val="28"/>
        </w:rPr>
      </w:pPr>
    </w:p>
    <w:p>
      <w:pPr>
        <w:adjustRightInd w:val="0"/>
        <w:snapToGrid w:val="0"/>
        <w:spacing w:line="360" w:lineRule="auto"/>
        <w:rPr>
          <w:rFonts w:hint="eastAsia" w:eastAsia="仿宋"/>
          <w:b/>
          <w:sz w:val="28"/>
          <w:szCs w:val="28"/>
        </w:rPr>
      </w:pPr>
    </w:p>
    <w:p>
      <w:pPr>
        <w:adjustRightInd w:val="0"/>
        <w:snapToGrid w:val="0"/>
        <w:spacing w:line="360" w:lineRule="auto"/>
        <w:rPr>
          <w:rFonts w:hint="eastAsia" w:eastAsia="仿宋"/>
          <w:b/>
          <w:sz w:val="28"/>
          <w:szCs w:val="28"/>
        </w:rPr>
      </w:pPr>
      <w:r>
        <w:rPr>
          <w:rFonts w:hint="eastAsia" w:eastAsia="仿宋"/>
          <w:b/>
          <w:sz w:val="28"/>
          <w:szCs w:val="28"/>
          <w:lang w:eastAsia="zh-CN"/>
        </w:rPr>
        <w:t>二、</w:t>
      </w:r>
      <w:r>
        <w:rPr>
          <w:rFonts w:eastAsia="仿宋"/>
          <w:b/>
          <w:sz w:val="28"/>
          <w:szCs w:val="28"/>
        </w:rPr>
        <w:t>参数要求</w:t>
      </w:r>
    </w:p>
    <w:p>
      <w:pPr>
        <w:rPr>
          <w:rFonts w:hint="eastAsia"/>
          <w:b/>
        </w:rPr>
      </w:pPr>
    </w:p>
    <w:p>
      <w:pPr>
        <w:rPr>
          <w:rFonts w:ascii="宋体" w:hAnsi="宋体" w:eastAsia="宋体"/>
          <w:szCs w:val="28"/>
        </w:rPr>
      </w:pPr>
      <w:r>
        <w:rPr>
          <w:rFonts w:ascii="宋体" w:hAnsi="宋体" w:eastAsia="宋体"/>
          <w:szCs w:val="28"/>
        </w:rPr>
        <w:t>4.1 防火墙参数要求</w:t>
      </w:r>
    </w:p>
    <w:p>
      <w:pPr>
        <w:jc w:val="center"/>
        <w:outlineLvl w:val="0"/>
        <w:rPr>
          <w:rFonts w:ascii="宋体" w:hAnsi="宋体" w:eastAsia="宋体"/>
          <w:szCs w:val="28"/>
        </w:rPr>
      </w:pPr>
    </w:p>
    <w:tbl>
      <w:tblPr>
        <w:tblStyle w:val="12"/>
        <w:tblW w:w="9215" w:type="dxa"/>
        <w:tblInd w:w="-431" w:type="dxa"/>
        <w:tblLayout w:type="fixed"/>
        <w:tblCellMar>
          <w:top w:w="0" w:type="dxa"/>
          <w:left w:w="108" w:type="dxa"/>
          <w:bottom w:w="0" w:type="dxa"/>
          <w:right w:w="108" w:type="dxa"/>
        </w:tblCellMar>
      </w:tblPr>
      <w:tblGrid>
        <w:gridCol w:w="1790"/>
        <w:gridCol w:w="7425"/>
      </w:tblGrid>
      <w:tr>
        <w:trPr>
          <w:trHeight w:val="360" w:hRule="atLeast"/>
        </w:trPr>
        <w:tc>
          <w:tcPr>
            <w:tcW w:w="1790"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指标项</w:t>
            </w:r>
          </w:p>
        </w:tc>
        <w:tc>
          <w:tcPr>
            <w:tcW w:w="7425" w:type="dxa"/>
            <w:tcBorders>
              <w:top w:val="single" w:color="auto" w:sz="4" w:space="0"/>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详细功能项</w:t>
            </w:r>
          </w:p>
        </w:tc>
      </w:tr>
      <w:tr>
        <w:trPr>
          <w:trHeight w:val="360" w:hRule="atLeast"/>
        </w:trPr>
        <w:tc>
          <w:tcPr>
            <w:tcW w:w="179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性能要求</w:t>
            </w:r>
          </w:p>
        </w:tc>
        <w:tc>
          <w:tcPr>
            <w:tcW w:w="7425" w:type="dxa"/>
            <w:tcBorders>
              <w:top w:val="nil"/>
              <w:left w:val="nil"/>
              <w:bottom w:val="single" w:color="auto" w:sz="4" w:space="0"/>
              <w:right w:val="single" w:color="auto" w:sz="4" w:space="0"/>
            </w:tcBorders>
            <w:noWrap w:val="0"/>
            <w:vAlign w:val="bottom"/>
          </w:tcPr>
          <w:p>
            <w:pPr>
              <w:widowControl/>
              <w:jc w:val="left"/>
              <w:rPr>
                <w:kern w:val="0"/>
                <w:sz w:val="24"/>
              </w:rPr>
            </w:pPr>
            <w:r>
              <w:rPr>
                <w:rFonts w:hint="eastAsia" w:ascii="宋体" w:hAnsi="宋体" w:eastAsia="宋体" w:cs="宋体-简"/>
                <w:color w:val="000000"/>
                <w:kern w:val="0"/>
                <w:szCs w:val="21"/>
              </w:rPr>
              <w:t>多核架构，三层吞吐量≥2</w:t>
            </w:r>
            <w:r>
              <w:rPr>
                <w:rFonts w:ascii="宋体" w:hAnsi="宋体" w:eastAsia="宋体" w:cs="宋体-简"/>
                <w:color w:val="000000"/>
                <w:kern w:val="0"/>
                <w:szCs w:val="21"/>
              </w:rPr>
              <w:t>0</w:t>
            </w:r>
            <w:r>
              <w:rPr>
                <w:rFonts w:hint="eastAsia" w:ascii="宋体" w:hAnsi="宋体" w:eastAsia="宋体" w:cs="宋体-简"/>
                <w:color w:val="000000"/>
                <w:kern w:val="0"/>
                <w:szCs w:val="21"/>
              </w:rPr>
              <w:t>G，并发连接数≥220万，每秒新建连接≥</w:t>
            </w:r>
            <w:r>
              <w:rPr>
                <w:rFonts w:ascii="宋体" w:hAnsi="宋体" w:eastAsia="宋体" w:cs="宋体-简"/>
                <w:color w:val="000000"/>
                <w:kern w:val="0"/>
                <w:szCs w:val="21"/>
              </w:rPr>
              <w:t>15</w:t>
            </w:r>
            <w:r>
              <w:rPr>
                <w:rFonts w:hint="eastAsia" w:ascii="宋体" w:hAnsi="宋体" w:eastAsia="宋体" w:cs="宋体-简"/>
                <w:color w:val="000000"/>
                <w:kern w:val="0"/>
                <w:szCs w:val="21"/>
              </w:rPr>
              <w:t>万/秒，SSL最大加密流量≥</w:t>
            </w:r>
            <w:r>
              <w:rPr>
                <w:rFonts w:ascii="宋体" w:hAnsi="宋体" w:eastAsia="宋体" w:cs="宋体-简"/>
                <w:color w:val="000000"/>
                <w:kern w:val="0"/>
                <w:szCs w:val="21"/>
              </w:rPr>
              <w:t>350</w:t>
            </w:r>
            <w:r>
              <w:rPr>
                <w:rFonts w:hint="eastAsia" w:ascii="宋体" w:hAnsi="宋体" w:eastAsia="宋体" w:cs="宋体-简"/>
                <w:color w:val="000000"/>
                <w:kern w:val="0"/>
                <w:szCs w:val="21"/>
              </w:rPr>
              <w:t>Mbps，</w:t>
            </w:r>
            <w:r>
              <w:rPr>
                <w:rFonts w:ascii="Helvetica Neue" w:hAnsi="Helvetica Neue"/>
                <w:color w:val="303133"/>
                <w:szCs w:val="21"/>
                <w:shd w:val="clear" w:color="auto" w:fill="FFFFFF"/>
              </w:rPr>
              <w:t>I</w:t>
            </w:r>
            <w:r>
              <w:rPr>
                <w:rFonts w:ascii="宋体" w:hAnsi="宋体" w:eastAsia="宋体" w:cs="宋体-简"/>
                <w:color w:val="000000"/>
                <w:kern w:val="0"/>
                <w:szCs w:val="21"/>
              </w:rPr>
              <w:t>PSec VPN最大接入数</w:t>
            </w:r>
            <w:r>
              <w:rPr>
                <w:rFonts w:hint="eastAsia" w:ascii="宋体" w:hAnsi="宋体" w:eastAsia="宋体" w:cs="宋体-简"/>
                <w:color w:val="000000"/>
                <w:kern w:val="0"/>
                <w:szCs w:val="21"/>
              </w:rPr>
              <w:t>≥1</w:t>
            </w:r>
            <w:r>
              <w:rPr>
                <w:rFonts w:ascii="宋体" w:hAnsi="宋体" w:eastAsia="宋体" w:cs="宋体-简"/>
                <w:color w:val="000000"/>
                <w:kern w:val="0"/>
                <w:szCs w:val="21"/>
              </w:rPr>
              <w:t>000</w:t>
            </w:r>
            <w:r>
              <w:rPr>
                <w:rFonts w:hint="eastAsia" w:ascii="宋体" w:hAnsi="宋体" w:eastAsia="宋体" w:cs="宋体-简"/>
                <w:color w:val="000000"/>
                <w:kern w:val="0"/>
                <w:szCs w:val="21"/>
              </w:rPr>
              <w:t>，IPSec</w:t>
            </w:r>
            <w:r>
              <w:rPr>
                <w:rFonts w:ascii="宋体" w:hAnsi="宋体" w:eastAsia="宋体" w:cs="宋体-简"/>
                <w:color w:val="000000"/>
                <w:kern w:val="0"/>
                <w:szCs w:val="21"/>
              </w:rPr>
              <w:t xml:space="preserve"> </w:t>
            </w:r>
            <w:r>
              <w:rPr>
                <w:rFonts w:hint="eastAsia" w:ascii="宋体" w:hAnsi="宋体" w:eastAsia="宋体" w:cs="宋体-简"/>
                <w:color w:val="000000"/>
                <w:kern w:val="0"/>
                <w:szCs w:val="21"/>
              </w:rPr>
              <w:t>VPN加密速度≥6</w:t>
            </w:r>
            <w:r>
              <w:rPr>
                <w:rFonts w:ascii="宋体" w:hAnsi="宋体" w:eastAsia="宋体" w:cs="宋体-简"/>
                <w:color w:val="000000"/>
                <w:kern w:val="0"/>
                <w:szCs w:val="21"/>
              </w:rPr>
              <w:t>0</w:t>
            </w:r>
            <w:r>
              <w:rPr>
                <w:rFonts w:hint="eastAsia" w:ascii="宋体" w:hAnsi="宋体" w:eastAsia="宋体" w:cs="宋体-简"/>
                <w:color w:val="000000"/>
                <w:kern w:val="0"/>
                <w:szCs w:val="21"/>
              </w:rPr>
              <w:t>0Mbps；</w:t>
            </w:r>
          </w:p>
        </w:tc>
      </w:tr>
      <w:tr>
        <w:trPr>
          <w:trHeight w:val="360" w:hRule="atLeast"/>
        </w:trPr>
        <w:tc>
          <w:tcPr>
            <w:tcW w:w="179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设备接口</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千兆电口≥</w:t>
            </w:r>
            <w:r>
              <w:rPr>
                <w:rFonts w:ascii="宋体" w:hAnsi="宋体" w:eastAsia="宋体" w:cs="宋体-简"/>
                <w:color w:val="000000"/>
                <w:kern w:val="0"/>
                <w:szCs w:val="21"/>
              </w:rPr>
              <w:t>6</w:t>
            </w:r>
            <w:r>
              <w:rPr>
                <w:rFonts w:hint="eastAsia" w:ascii="宋体" w:hAnsi="宋体" w:eastAsia="宋体" w:cs="宋体-简"/>
                <w:color w:val="000000"/>
                <w:kern w:val="0"/>
                <w:szCs w:val="21"/>
              </w:rPr>
              <w:t>个，万兆光口≥</w:t>
            </w:r>
            <w:r>
              <w:rPr>
                <w:rFonts w:ascii="宋体" w:hAnsi="宋体" w:eastAsia="宋体" w:cs="宋体-简"/>
                <w:color w:val="000000"/>
                <w:kern w:val="0"/>
                <w:szCs w:val="21"/>
              </w:rPr>
              <w:t>2</w:t>
            </w:r>
            <w:r>
              <w:rPr>
                <w:rFonts w:hint="eastAsia" w:ascii="宋体" w:hAnsi="宋体" w:eastAsia="宋体" w:cs="宋体-简"/>
                <w:color w:val="000000"/>
                <w:kern w:val="0"/>
                <w:szCs w:val="21"/>
              </w:rPr>
              <w:t>个，</w:t>
            </w:r>
            <w:r>
              <w:rPr>
                <w:rFonts w:ascii="宋体" w:hAnsi="宋体" w:eastAsia="宋体" w:cs="宋体-简"/>
                <w:color w:val="000000"/>
                <w:kern w:val="0"/>
                <w:szCs w:val="21"/>
              </w:rPr>
              <w:t>1</w:t>
            </w:r>
            <w:r>
              <w:rPr>
                <w:rFonts w:hint="eastAsia" w:ascii="宋体" w:hAnsi="宋体" w:eastAsia="宋体" w:cs="宋体-简"/>
                <w:color w:val="000000"/>
                <w:kern w:val="0"/>
                <w:szCs w:val="21"/>
              </w:rPr>
              <w:t>U标准架构，单电源</w:t>
            </w:r>
          </w:p>
        </w:tc>
      </w:tr>
      <w:tr>
        <w:trPr>
          <w:trHeight w:val="360" w:hRule="atLeast"/>
        </w:trPr>
        <w:tc>
          <w:tcPr>
            <w:tcW w:w="179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部署方式</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支持路由，网桥，单臂，旁路，虚拟网线以及混合部署方式</w:t>
            </w:r>
          </w:p>
        </w:tc>
      </w:tr>
      <w:tr>
        <w:trPr>
          <w:trHeight w:val="360" w:hRule="atLeast"/>
        </w:trPr>
        <w:tc>
          <w:tcPr>
            <w:tcW w:w="1790" w:type="dxa"/>
            <w:vMerge w:val="restart"/>
            <w:tcBorders>
              <w:top w:val="nil"/>
              <w:left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网络特性</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支持802.1Q VLAN Trunk、access接口，VLAN三层接口，子接口</w:t>
            </w:r>
          </w:p>
        </w:tc>
      </w:tr>
      <w:tr>
        <w:trPr>
          <w:trHeight w:val="360" w:hRule="atLeast"/>
        </w:trPr>
        <w:tc>
          <w:tcPr>
            <w:tcW w:w="1790" w:type="dxa"/>
            <w:vMerge w:val="continue"/>
            <w:tcBorders>
              <w:left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支持链路聚合功能</w:t>
            </w:r>
          </w:p>
        </w:tc>
      </w:tr>
      <w:tr>
        <w:trPr>
          <w:trHeight w:val="720" w:hRule="atLeast"/>
        </w:trPr>
        <w:tc>
          <w:tcPr>
            <w:tcW w:w="1790" w:type="dxa"/>
            <w:vMerge w:val="continue"/>
            <w:tcBorders>
              <w:left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支持端口联动功能，当上行/下行端口链路出现故障时，对应的另一端下行/上行端口自动切断链路</w:t>
            </w:r>
          </w:p>
        </w:tc>
      </w:tr>
      <w:tr>
        <w:trPr>
          <w:trHeight w:val="720" w:hRule="atLeast"/>
        </w:trPr>
        <w:tc>
          <w:tcPr>
            <w:tcW w:w="179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kern w:val="0"/>
                <w:szCs w:val="21"/>
              </w:rPr>
              <w:t>支持IPV6环境部署，包括接口/区域配置、路由配置等网络适应性功能，支持核心常用安全功能，包括僵尸网络，IPS漏洞防御，WEB应用防护等，支持协议一致性（包括但不限于Core、NDP、Autoconfig、PMTU、ICMPV6）和协议健壮性检测（IPv6畸形报文、ICMPv6畸形报文、其他协议畸形报文），支持IPV6的地址转换、双栈的过渡技术</w:t>
            </w:r>
          </w:p>
        </w:tc>
      </w:tr>
      <w:tr>
        <w:trPr>
          <w:trHeight w:val="360"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路由支持</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支持静态路由，ECMP等价路由以及RIPv1/v2，OSPFv2/v3，BGP等动态路由协议</w:t>
            </w:r>
          </w:p>
        </w:tc>
      </w:tr>
      <w:tr>
        <w:trPr>
          <w:trHeight w:val="72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基础功能</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支持连接会话展示，可针对具体的IP地址进行会话详情查询，支持封锁异常会话信息，并支持设置监听具体IP的会话记录</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kern w:val="0"/>
                <w:szCs w:val="21"/>
              </w:rPr>
              <w:t>★访问控制规则支持基于源／目的IP，源端口，源／目的区域，用户（组），应用/服务类型，时间组的细化控制方式，支持长连接功能并可以配置连接时长；（</w:t>
            </w:r>
            <w:r>
              <w:rPr>
                <w:rFonts w:hint="default" w:ascii="宋体" w:hAnsi="宋体" w:eastAsia="宋体" w:cs="宋体-简"/>
                <w:kern w:val="0"/>
                <w:szCs w:val="21"/>
              </w:rPr>
              <w:t>需提供相关功能截图证明并加盖原厂公章</w:t>
            </w:r>
            <w:r>
              <w:rPr>
                <w:rFonts w:hint="eastAsia" w:ascii="宋体" w:hAnsi="宋体" w:eastAsia="宋体" w:cs="宋体-简"/>
                <w:kern w:val="0"/>
                <w:szCs w:val="21"/>
              </w:rPr>
              <w:t>）</w:t>
            </w:r>
          </w:p>
        </w:tc>
      </w:tr>
      <w:tr>
        <w:trPr>
          <w:trHeight w:val="108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★访问控制规则支持数据模拟匹配，输入源目的IP、端口、协议五元组信息，模拟策略匹配方式，给出最可能的匹配结果，方便排查故障，或环境部署前的调试（</w:t>
            </w:r>
            <w:r>
              <w:rPr>
                <w:rFonts w:hint="default" w:ascii="宋体" w:hAnsi="宋体" w:eastAsia="宋体" w:cs="宋体-简"/>
                <w:color w:val="000000"/>
                <w:kern w:val="0"/>
                <w:szCs w:val="21"/>
              </w:rPr>
              <w:t>需提供相关功能截图证明并加盖原厂公章</w:t>
            </w:r>
            <w:r>
              <w:rPr>
                <w:rFonts w:hint="eastAsia" w:ascii="宋体" w:hAnsi="宋体" w:eastAsia="宋体" w:cs="宋体-简"/>
                <w:color w:val="000000"/>
                <w:kern w:val="0"/>
                <w:szCs w:val="21"/>
              </w:rPr>
              <w:t>）</w:t>
            </w:r>
          </w:p>
        </w:tc>
      </w:tr>
      <w:tr>
        <w:trPr>
          <w:trHeight w:val="36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能够识别管控的应用类型超过1200种，应用识别规则总数超过3000条</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rPr>
                <w:rFonts w:ascii="宋体" w:hAnsi="宋体" w:eastAsia="宋体" w:cs="宋体-简"/>
                <w:color w:val="000000"/>
                <w:kern w:val="0"/>
                <w:szCs w:val="21"/>
              </w:rPr>
            </w:pPr>
            <w:r>
              <w:rPr>
                <w:rFonts w:hint="eastAsia" w:ascii="宋体" w:hAnsi="宋体" w:eastAsia="宋体" w:cs="宋体-简"/>
                <w:kern w:val="0"/>
                <w:szCs w:val="21"/>
              </w:rPr>
              <w:t>支持IPSec VPN，SSL VPN，GRE，GRE over OSPF，GRE over IPSec等VPN接入方式；</w:t>
            </w:r>
          </w:p>
        </w:tc>
      </w:tr>
      <w:tr>
        <w:trPr>
          <w:trHeight w:val="36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内容安全</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内置病毒样本数量超过</w:t>
            </w:r>
            <w:r>
              <w:rPr>
                <w:rFonts w:ascii="宋体" w:hAnsi="宋体" w:eastAsia="宋体" w:cs="宋体-简"/>
                <w:color w:val="000000"/>
                <w:kern w:val="0"/>
                <w:szCs w:val="21"/>
              </w:rPr>
              <w:t>1000</w:t>
            </w:r>
            <w:r>
              <w:rPr>
                <w:rFonts w:hint="eastAsia" w:ascii="宋体" w:hAnsi="宋体" w:eastAsia="宋体" w:cs="宋体-简"/>
                <w:color w:val="000000"/>
                <w:kern w:val="0"/>
                <w:szCs w:val="21"/>
              </w:rPr>
              <w:t>万</w:t>
            </w:r>
          </w:p>
        </w:tc>
      </w:tr>
      <w:tr>
        <w:trPr>
          <w:trHeight w:val="492"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w:t>
            </w:r>
            <w:r>
              <w:rPr>
                <w:rFonts w:hint="eastAsia" w:ascii="宋体" w:hAnsi="宋体" w:eastAsia="宋体" w:cs="宋体-简"/>
                <w:kern w:val="0"/>
                <w:szCs w:val="21"/>
              </w:rPr>
              <w:t>支持采用无特征AI检测技术对恶意勒索病毒及挖矿病毒等热点病毒进行检测，给出基于AI技术的病毒检测报告；</w:t>
            </w:r>
            <w:r>
              <w:rPr>
                <w:rFonts w:hint="eastAsia" w:ascii="宋体" w:hAnsi="宋体" w:eastAsia="宋体" w:cs="宋体-简"/>
                <w:szCs w:val="21"/>
              </w:rPr>
              <w:t xml:space="preserve"> </w:t>
            </w:r>
            <w:bookmarkStart w:id="0" w:name="OLE_LINK39"/>
            <w:r>
              <w:rPr>
                <w:rFonts w:hint="eastAsia" w:ascii="宋体" w:hAnsi="宋体" w:eastAsia="宋体" w:cs="宋体-简"/>
                <w:kern w:val="0"/>
                <w:szCs w:val="21"/>
              </w:rPr>
              <w:t>（</w:t>
            </w:r>
            <w:r>
              <w:rPr>
                <w:rFonts w:hint="default" w:ascii="宋体" w:hAnsi="宋体" w:eastAsia="宋体" w:cs="宋体-简"/>
                <w:kern w:val="0"/>
                <w:szCs w:val="21"/>
              </w:rPr>
              <w:t>需提供相关功能截图证明并加盖原厂公章</w:t>
            </w:r>
            <w:r>
              <w:rPr>
                <w:rFonts w:hint="eastAsia" w:ascii="宋体" w:hAnsi="宋体" w:eastAsia="宋体" w:cs="宋体-简"/>
                <w:kern w:val="0"/>
                <w:szCs w:val="21"/>
              </w:rPr>
              <w:t>）</w:t>
            </w:r>
            <w:bookmarkEnd w:id="0"/>
          </w:p>
        </w:tc>
      </w:tr>
      <w:tr>
        <w:trPr>
          <w:trHeight w:val="108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支持针对SMTP、POP3、IMAP邮件协议的内容检测，如邮件附件病毒检测、邮件内容恶意链接检测，邮件账号撞库攻击检测等，支持根据邮件附件类型进行文件过滤（</w:t>
            </w:r>
            <w:r>
              <w:rPr>
                <w:rFonts w:hint="default" w:ascii="宋体" w:hAnsi="宋体" w:eastAsia="宋体" w:cs="宋体-简"/>
                <w:color w:val="000000"/>
                <w:kern w:val="0"/>
                <w:szCs w:val="21"/>
              </w:rPr>
              <w:t>需提供相关功能截图证明并加盖原厂公章</w:t>
            </w:r>
            <w:r>
              <w:rPr>
                <w:rFonts w:hint="eastAsia" w:ascii="宋体" w:hAnsi="宋体" w:eastAsia="宋体" w:cs="宋体-简"/>
                <w:color w:val="000000"/>
                <w:kern w:val="0"/>
                <w:szCs w:val="21"/>
              </w:rPr>
              <w:t>）</w:t>
            </w:r>
          </w:p>
        </w:tc>
      </w:tr>
      <w:tr>
        <w:trPr>
          <w:trHeight w:val="144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DoS/DDoS攻击防护</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支持内网访问控制，配置内网区域只允许指定的IP地址或IP范围对外进行访问，防止内部伪造源IP对外DoS攻击的情况</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支持对信任区域主机外发的异常流量进行检测，如ICMP，UPD，SYN，DNS Flood等DDoS攻击行为</w:t>
            </w:r>
          </w:p>
        </w:tc>
      </w:tr>
      <w:tr>
        <w:trPr>
          <w:trHeight w:val="72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入侵防护功能</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★设备具备独立的入侵防护漏洞规则特征库，特征总数在7400条以上（</w:t>
            </w:r>
            <w:r>
              <w:rPr>
                <w:rFonts w:hint="default" w:ascii="宋体" w:hAnsi="宋体" w:eastAsia="宋体" w:cs="宋体-简"/>
                <w:color w:val="000000"/>
                <w:kern w:val="0"/>
                <w:szCs w:val="21"/>
              </w:rPr>
              <w:t>需提供相关功能截图证明并加盖原厂公章</w:t>
            </w:r>
            <w:r>
              <w:rPr>
                <w:rFonts w:hint="eastAsia" w:ascii="宋体" w:hAnsi="宋体" w:eastAsia="宋体" w:cs="宋体-简"/>
                <w:color w:val="000000"/>
                <w:kern w:val="0"/>
                <w:szCs w:val="21"/>
              </w:rPr>
              <w:t>）</w:t>
            </w:r>
          </w:p>
        </w:tc>
      </w:tr>
      <w:tr>
        <w:trPr>
          <w:trHeight w:val="108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支持对常见应用服务（HTTP、FTP、SSH、SMTP、IMAP、POP3、 RDP、Rlogin、SMB、Telne、Weblogic、VNC）和数据库软件（MySQL、Oracle、MSSQL）的口令暴力破解防护功能</w:t>
            </w:r>
          </w:p>
        </w:tc>
      </w:tr>
      <w:tr>
        <w:trPr>
          <w:trHeight w:val="9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bookmarkStart w:id="1" w:name="_Hlk528847743"/>
            <w:r>
              <w:rPr>
                <w:rFonts w:hint="eastAsia" w:ascii="宋体" w:hAnsi="宋体" w:eastAsia="宋体" w:cs="宋体-简"/>
                <w:kern w:val="0"/>
                <w:szCs w:val="21"/>
              </w:rPr>
              <w:t>支持同防火墙访问控制规则进行联动，可以针对检测到的攻击源IP进行联动封锁，支持自定义封锁时间；</w:t>
            </w:r>
            <w:bookmarkEnd w:id="1"/>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具备防护常见网络协议（SSH、FTP、RDP、VNC、Netbios）和数据库（MySQL、Oracle、MSSQL）的弱密码扫描功能</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★可提供最新的威胁情报信息，能够对新爆发的流行高危漏洞进行预警和自动检测，发现问题后支持一键生成防护规则（</w:t>
            </w:r>
            <w:r>
              <w:rPr>
                <w:rFonts w:hint="default" w:ascii="宋体" w:hAnsi="宋体" w:eastAsia="宋体" w:cs="宋体-简"/>
                <w:color w:val="000000"/>
                <w:kern w:val="0"/>
                <w:szCs w:val="21"/>
              </w:rPr>
              <w:t>需提供相关功能截图证明并加盖原厂公章</w:t>
            </w:r>
            <w:r>
              <w:rPr>
                <w:rFonts w:hint="eastAsia" w:ascii="宋体" w:hAnsi="宋体" w:eastAsia="宋体" w:cs="宋体-简"/>
                <w:color w:val="000000"/>
                <w:kern w:val="0"/>
                <w:szCs w:val="21"/>
              </w:rPr>
              <w:t>）</w:t>
            </w:r>
          </w:p>
        </w:tc>
      </w:tr>
      <w:tr>
        <w:trPr>
          <w:trHeight w:val="36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僵尸主机检测</w:t>
            </w:r>
          </w:p>
        </w:tc>
        <w:tc>
          <w:tcPr>
            <w:tcW w:w="7425" w:type="dxa"/>
            <w:tcBorders>
              <w:top w:val="nil"/>
              <w:left w:val="nil"/>
              <w:bottom w:val="single" w:color="auto" w:sz="4" w:space="0"/>
              <w:right w:val="single" w:color="auto" w:sz="4" w:space="0"/>
            </w:tcBorders>
            <w:noWrap w:val="0"/>
            <w:vAlign w:val="bottom"/>
          </w:tcPr>
          <w:p>
            <w:pPr>
              <w:widowControl/>
              <w:rPr>
                <w:rFonts w:ascii="宋体" w:hAnsi="宋体" w:eastAsia="宋体" w:cs="宋体-简"/>
                <w:color w:val="000000"/>
                <w:kern w:val="0"/>
                <w:szCs w:val="21"/>
              </w:rPr>
            </w:pPr>
            <w:bookmarkStart w:id="2" w:name="OLE_LINK42"/>
            <w:bookmarkStart w:id="3" w:name="OLE_LINK41"/>
            <w:r>
              <w:rPr>
                <w:rFonts w:hint="eastAsia" w:ascii="宋体" w:hAnsi="宋体" w:eastAsia="宋体" w:cs="宋体-简"/>
                <w:kern w:val="0"/>
                <w:szCs w:val="21"/>
              </w:rPr>
              <w:t>★</w:t>
            </w:r>
            <w:bookmarkEnd w:id="2"/>
            <w:bookmarkEnd w:id="3"/>
            <w:r>
              <w:rPr>
                <w:rFonts w:hint="eastAsia" w:ascii="宋体" w:hAnsi="宋体" w:eastAsia="宋体" w:cs="宋体-简"/>
                <w:kern w:val="0"/>
                <w:szCs w:val="21"/>
              </w:rPr>
              <w:t>设备具备独立的热门威胁库，防护类型包括木马远控、恶意脚本、勒索病毒、僵尸网络、挖矿病毒等，特征总数在60万条以上；（</w:t>
            </w:r>
            <w:r>
              <w:rPr>
                <w:rFonts w:hint="default" w:ascii="宋体" w:hAnsi="宋体" w:eastAsia="宋体" w:cs="宋体-简"/>
                <w:kern w:val="0"/>
                <w:szCs w:val="21"/>
              </w:rPr>
              <w:t>需提供相关功能截图证明并加盖原厂公章</w:t>
            </w:r>
            <w:r>
              <w:rPr>
                <w:rFonts w:hint="eastAsia" w:ascii="宋体" w:hAnsi="宋体" w:eastAsia="宋体" w:cs="宋体-简"/>
                <w:kern w:val="0"/>
                <w:szCs w:val="21"/>
              </w:rPr>
              <w:t>）</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★对于未知威胁具备同云端安全分析引擎进行联动的能力，上报可疑行为并在云端进行沙盒检测，并下发威胁行为分析报告</w:t>
            </w:r>
          </w:p>
        </w:tc>
      </w:tr>
      <w:tr>
        <w:trPr>
          <w:trHeight w:val="72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安全可视化</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★支持资产的自动发现以及资产脆弱性和服务器开放端口的自动识别（</w:t>
            </w:r>
            <w:r>
              <w:rPr>
                <w:rFonts w:hint="default" w:ascii="宋体" w:hAnsi="宋体" w:eastAsia="宋体" w:cs="宋体-简"/>
                <w:color w:val="000000"/>
                <w:kern w:val="0"/>
                <w:szCs w:val="21"/>
              </w:rPr>
              <w:t>需提供相关功能截图证明并加盖原厂公章</w:t>
            </w:r>
            <w:r>
              <w:rPr>
                <w:rFonts w:hint="eastAsia" w:ascii="宋体" w:hAnsi="宋体" w:eastAsia="宋体" w:cs="宋体-简"/>
                <w:color w:val="000000"/>
                <w:kern w:val="0"/>
                <w:szCs w:val="21"/>
              </w:rPr>
              <w:t>）</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kern w:val="0"/>
                <w:szCs w:val="21"/>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Pr>
                <w:rFonts w:hint="default" w:ascii="宋体" w:hAnsi="宋体" w:eastAsia="宋体" w:cs="宋体-简"/>
                <w:kern w:val="0"/>
                <w:szCs w:val="21"/>
              </w:rPr>
              <w:t>需提供相关功能截图证明并加盖原厂公章</w:t>
            </w:r>
            <w:r>
              <w:rPr>
                <w:rFonts w:hint="eastAsia" w:ascii="宋体" w:hAnsi="宋体" w:eastAsia="宋体" w:cs="宋体-简"/>
                <w:kern w:val="0"/>
                <w:szCs w:val="21"/>
              </w:rPr>
              <w:t>）</w:t>
            </w:r>
          </w:p>
        </w:tc>
      </w:tr>
      <w:tr>
        <w:trPr>
          <w:trHeight w:val="72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支持自动生成安全风险报表，报表内容体现被保护对象的整体安全等级，发现漏洞情况以及遭受到攻击的漏洞统计，具备有效攻击行为次数统计和攻击举证</w:t>
            </w:r>
          </w:p>
        </w:tc>
      </w:tr>
      <w:tr>
        <w:trPr>
          <w:trHeight w:val="360" w:hRule="atLeast"/>
        </w:trPr>
        <w:tc>
          <w:tcPr>
            <w:tcW w:w="179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简"/>
                <w:color w:val="000000"/>
                <w:kern w:val="0"/>
                <w:szCs w:val="21"/>
              </w:rPr>
            </w:pPr>
            <w:r>
              <w:rPr>
                <w:rFonts w:hint="eastAsia" w:ascii="宋体" w:hAnsi="宋体" w:eastAsia="宋体" w:cs="宋体-简"/>
                <w:color w:val="000000"/>
                <w:kern w:val="0"/>
                <w:szCs w:val="21"/>
              </w:rPr>
              <w:t>相关资质</w:t>
            </w: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kern w:val="0"/>
                <w:szCs w:val="21"/>
              </w:rPr>
              <w:t>★</w:t>
            </w:r>
            <w:r>
              <w:rPr>
                <w:rFonts w:hint="eastAsia" w:ascii="宋体" w:hAnsi="宋体" w:eastAsia="宋体" w:cs="宋体-简"/>
                <w:color w:val="000000"/>
                <w:kern w:val="0"/>
                <w:szCs w:val="21"/>
              </w:rPr>
              <w:t>厂商软件研发实力需通过CMMI L5及以上认证</w:t>
            </w:r>
            <w:r>
              <w:rPr>
                <w:rFonts w:hint="eastAsia" w:ascii="宋体" w:hAnsi="宋体" w:eastAsia="宋体" w:cs="宋体-简"/>
                <w:kern w:val="0"/>
                <w:szCs w:val="21"/>
              </w:rPr>
              <w:t>（</w:t>
            </w:r>
            <w:r>
              <w:rPr>
                <w:rFonts w:hint="default" w:ascii="宋体" w:hAnsi="宋体" w:eastAsia="宋体" w:cs="宋体-简"/>
                <w:kern w:val="0"/>
                <w:szCs w:val="21"/>
              </w:rPr>
              <w:t>需提供相关功能截图证明并加盖原厂公章</w:t>
            </w:r>
            <w:r>
              <w:rPr>
                <w:rFonts w:hint="eastAsia" w:ascii="宋体" w:hAnsi="宋体" w:eastAsia="宋体" w:cs="宋体-简"/>
                <w:kern w:val="0"/>
                <w:szCs w:val="21"/>
              </w:rPr>
              <w:t>）</w:t>
            </w:r>
          </w:p>
        </w:tc>
      </w:tr>
      <w:tr>
        <w:trPr>
          <w:trHeight w:val="36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国家信息安全漏洞共享平台(CNVD)技术组成员</w:t>
            </w:r>
          </w:p>
        </w:tc>
      </w:tr>
      <w:tr>
        <w:trPr>
          <w:trHeight w:val="36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color w:val="000000"/>
                <w:kern w:val="0"/>
                <w:szCs w:val="21"/>
              </w:rPr>
              <w:t>产品应具备计算机信息系统安全专用产品销售许可证</w:t>
            </w:r>
          </w:p>
        </w:tc>
      </w:tr>
      <w:tr>
        <w:trPr>
          <w:trHeight w:val="360" w:hRule="atLeast"/>
        </w:trPr>
        <w:tc>
          <w:tcPr>
            <w:tcW w:w="17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简"/>
                <w:color w:val="000000"/>
                <w:kern w:val="0"/>
                <w:szCs w:val="21"/>
              </w:rPr>
            </w:pPr>
          </w:p>
        </w:tc>
        <w:tc>
          <w:tcPr>
            <w:tcW w:w="7425" w:type="dxa"/>
            <w:tcBorders>
              <w:top w:val="nil"/>
              <w:left w:val="nil"/>
              <w:bottom w:val="single" w:color="auto" w:sz="4" w:space="0"/>
              <w:right w:val="single" w:color="auto" w:sz="4" w:space="0"/>
            </w:tcBorders>
            <w:noWrap w:val="0"/>
            <w:vAlign w:val="bottom"/>
          </w:tcPr>
          <w:p>
            <w:pPr>
              <w:widowControl/>
              <w:jc w:val="left"/>
              <w:rPr>
                <w:rFonts w:ascii="宋体" w:hAnsi="宋体" w:eastAsia="宋体" w:cs="宋体-简"/>
                <w:color w:val="000000"/>
                <w:kern w:val="0"/>
                <w:szCs w:val="21"/>
              </w:rPr>
            </w:pPr>
            <w:r>
              <w:rPr>
                <w:rFonts w:hint="eastAsia" w:ascii="宋体" w:hAnsi="宋体" w:eastAsia="宋体" w:cs="宋体-简"/>
                <w:kern w:val="0"/>
                <w:szCs w:val="21"/>
              </w:rPr>
              <w:t>★</w:t>
            </w:r>
            <w:r>
              <w:rPr>
                <w:rFonts w:hint="eastAsia" w:ascii="宋体" w:hAnsi="宋体" w:eastAsia="宋体" w:cs="宋体-简"/>
                <w:color w:val="000000"/>
                <w:kern w:val="0"/>
                <w:szCs w:val="21"/>
              </w:rPr>
              <w:t>所投产品的生产厂商应是第八届国家互联网应急响应中心网络安全应急服务国家级支撑单位</w:t>
            </w:r>
          </w:p>
        </w:tc>
      </w:tr>
    </w:tbl>
    <w:p>
      <w:pPr>
        <w:rPr>
          <w:rFonts w:hint="default"/>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Helvetica Neue">
    <w:altName w:val="苹方-简"/>
    <w:panose1 w:val="02000503000000020004"/>
    <w:charset w:val="00"/>
    <w:family w:val="auto"/>
    <w:pitch w:val="default"/>
    <w:sig w:usb0="00000000" w:usb1="00000000" w:usb2="00000010" w:usb3="00000000" w:csb0="00000001" w:csb1="00000000"/>
  </w:font>
  <w:font w:name="Corbel">
    <w:panose1 w:val="020B07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9A86A"/>
    <w:multiLevelType w:val="multilevel"/>
    <w:tmpl w:val="E859A86A"/>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28DDA418"/>
    <w:multiLevelType w:val="singleLevel"/>
    <w:tmpl w:val="28DDA418"/>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61751"/>
    <w:rsid w:val="0AAE1CF2"/>
    <w:rsid w:val="10861751"/>
    <w:rsid w:val="33EC677F"/>
    <w:rsid w:val="37F99894"/>
    <w:rsid w:val="4FA73EBE"/>
    <w:rsid w:val="53606272"/>
    <w:rsid w:val="53A153DF"/>
    <w:rsid w:val="62D461C1"/>
    <w:rsid w:val="68F24910"/>
    <w:rsid w:val="751527F9"/>
    <w:rsid w:val="7A110B93"/>
    <w:rsid w:val="7D036EE0"/>
    <w:rsid w:val="7D24559E"/>
    <w:rsid w:val="7F5F6455"/>
    <w:rsid w:val="7FFF4C19"/>
    <w:rsid w:val="FAFB91E5"/>
    <w:rsid w:val="FE75D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numPr>
        <w:ilvl w:val="0"/>
        <w:numId w:val="1"/>
      </w:numPr>
      <w:spacing w:before="50" w:beforeLines="50" w:after="50" w:afterLines="50" w:line="360" w:lineRule="exact"/>
      <w:outlineLvl w:val="0"/>
    </w:pPr>
    <w:rPr>
      <w:rFonts w:ascii="黑体" w:hAnsi="黑体" w:eastAsia="仿宋" w:cs="仿宋"/>
      <w:b/>
      <w:kern w:val="44"/>
      <w:sz w:val="24"/>
      <w:szCs w:val="20"/>
      <w:lang w:val="zh-CN" w:bidi="zh-CN"/>
    </w:rPr>
  </w:style>
  <w:style w:type="paragraph" w:styleId="3">
    <w:name w:val="heading 2"/>
    <w:basedOn w:val="1"/>
    <w:next w:val="1"/>
    <w:unhideWhenUsed/>
    <w:qFormat/>
    <w:uiPriority w:val="0"/>
    <w:pPr>
      <w:keepNext/>
      <w:keepLines/>
      <w:numPr>
        <w:ilvl w:val="1"/>
        <w:numId w:val="2"/>
      </w:numPr>
      <w:spacing w:beforeLines="0" w:beforeAutospacing="0" w:afterLines="0" w:afterAutospacing="0" w:line="440" w:lineRule="exact"/>
      <w:outlineLvl w:val="1"/>
    </w:pPr>
    <w:rPr>
      <w:rFonts w:ascii="Arial" w:hAnsi="Arial" w:eastAsia="仿宋"/>
      <w:b/>
      <w:sz w:val="30"/>
    </w:rPr>
  </w:style>
  <w:style w:type="paragraph" w:styleId="4">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9">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1">
    <w:name w:val="Default Paragraph Font"/>
    <w:semiHidden/>
    <w:qFormat/>
    <w:uiPriority w:val="99"/>
  </w:style>
  <w:style w:type="table" w:default="1" w:styleId="12">
    <w:name w:val="Normal Table"/>
    <w:semiHidden/>
    <w:qFormat/>
    <w:uiPriority w:val="0"/>
    <w:tblPr>
      <w:tblCellMar>
        <w:top w:w="0" w:type="dxa"/>
        <w:left w:w="108" w:type="dxa"/>
        <w:bottom w:w="0" w:type="dxa"/>
        <w:right w:w="108" w:type="dxa"/>
      </w:tblCellMar>
    </w:tblPr>
  </w:style>
  <w:style w:type="character" w:customStyle="1" w:styleId="13">
    <w:name w:val="标题 1 Char"/>
    <w:basedOn w:val="11"/>
    <w:link w:val="2"/>
    <w:qFormat/>
    <w:locked/>
    <w:uiPriority w:val="99"/>
    <w:rPr>
      <w:rFonts w:ascii="黑体" w:hAnsi="黑体" w:eastAsia="仿宋" w:cs="仿宋"/>
      <w:b/>
      <w:kern w:val="44"/>
      <w:sz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2020-10-15T19:49:00Z</dcterms:created>
  <dc:creator>陈军</dc:creator>
  <cp:lastModifiedBy>taocong</cp:lastModifiedBy>
  <dcterms:modified xsi:type="dcterms:W3CDTF">2020-11-03T17:02:21Z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